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4639513F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Договор № </w:t>
      </w:r>
      <w:r w:rsidR="00114859" w:rsidRPr="004E061C">
        <w:rPr>
          <w:sz w:val="23"/>
          <w:szCs w:val="23"/>
        </w:rPr>
        <w:t>ОП-</w:t>
      </w:r>
      <w:r w:rsidR="0043049D">
        <w:rPr>
          <w:sz w:val="23"/>
          <w:szCs w:val="23"/>
        </w:rPr>
        <w:t>СД</w:t>
      </w:r>
      <w:r w:rsidR="00D03EEC" w:rsidRPr="004E061C">
        <w:rPr>
          <w:sz w:val="23"/>
          <w:szCs w:val="23"/>
        </w:rPr>
        <w:t>-</w:t>
      </w:r>
      <w:r w:rsidR="00114859" w:rsidRPr="004E061C">
        <w:rPr>
          <w:sz w:val="23"/>
          <w:szCs w:val="23"/>
        </w:rPr>
        <w:t>__</w:t>
      </w:r>
      <w:r w:rsidR="004E061C">
        <w:rPr>
          <w:sz w:val="23"/>
          <w:szCs w:val="23"/>
        </w:rPr>
        <w:t>__</w:t>
      </w:r>
      <w:r w:rsidR="00394C54" w:rsidRPr="004E061C">
        <w:rPr>
          <w:sz w:val="23"/>
          <w:szCs w:val="23"/>
        </w:rPr>
        <w:t>___</w:t>
      </w:r>
      <w:r w:rsidR="00114859" w:rsidRPr="004E061C">
        <w:rPr>
          <w:sz w:val="23"/>
          <w:szCs w:val="23"/>
        </w:rPr>
        <w:t>_-</w:t>
      </w:r>
      <w:r w:rsidR="00493F06" w:rsidRPr="004E061C">
        <w:rPr>
          <w:sz w:val="23"/>
          <w:szCs w:val="23"/>
        </w:rPr>
        <w:t>0</w:t>
      </w:r>
      <w:r w:rsidR="0085034D">
        <w:rPr>
          <w:sz w:val="23"/>
          <w:szCs w:val="23"/>
        </w:rPr>
        <w:t>6</w:t>
      </w:r>
      <w:r w:rsidR="002A210B" w:rsidRPr="004E061C">
        <w:rPr>
          <w:sz w:val="23"/>
          <w:szCs w:val="23"/>
        </w:rPr>
        <w:t>/202</w:t>
      </w:r>
      <w:r w:rsidR="0085034D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26B46D98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85034D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1E73347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_________________________________________________________________________</w:t>
      </w:r>
      <w:r w:rsidR="00B97AD5" w:rsidRPr="004E061C">
        <w:rPr>
          <w:bCs/>
          <w:sz w:val="23"/>
          <w:szCs w:val="23"/>
          <w:highlight w:val="cyan"/>
        </w:rPr>
        <w:t>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1E1065" w:rsidRPr="004E061C">
        <w:rPr>
          <w:sz w:val="23"/>
          <w:szCs w:val="23"/>
        </w:rPr>
        <w:t xml:space="preserve">в лице </w:t>
      </w:r>
      <w:r w:rsidR="00A4290A" w:rsidRPr="00A4290A">
        <w:t xml:space="preserve">заместителя директора </w:t>
      </w:r>
      <w:proofErr w:type="spellStart"/>
      <w:r w:rsidR="00A4290A" w:rsidRPr="00A4290A">
        <w:t>Синьковой</w:t>
      </w:r>
      <w:proofErr w:type="spellEnd"/>
      <w:r w:rsidR="00A4290A" w:rsidRPr="00A4290A">
        <w:t xml:space="preserve"> Ирины Викторовны, действующего на основании доверенности № 2 от 14.04.2022</w:t>
      </w:r>
      <w:proofErr w:type="gramEnd"/>
      <w:r w:rsidR="00A4290A" w:rsidRPr="00A4290A"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66935856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4E061C">
        <w:rPr>
          <w:rFonts w:ascii="Times New Roman" w:hAnsi="Times New Roman"/>
          <w:sz w:val="23"/>
          <w:szCs w:val="23"/>
        </w:rPr>
        <w:t xml:space="preserve">оказать </w:t>
      </w:r>
      <w:r w:rsidRPr="004E061C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4E061C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4E061C">
        <w:rPr>
          <w:rFonts w:ascii="Times New Roman" w:hAnsi="Times New Roman"/>
          <w:sz w:val="23"/>
          <w:szCs w:val="23"/>
        </w:rPr>
        <w:t xml:space="preserve"> квалификации</w:t>
      </w:r>
      <w:r w:rsidRPr="004E061C">
        <w:rPr>
          <w:rFonts w:ascii="Times New Roman" w:hAnsi="Times New Roman"/>
          <w:sz w:val="23"/>
          <w:szCs w:val="23"/>
        </w:rPr>
        <w:t xml:space="preserve"> «</w:t>
      </w:r>
      <w:r w:rsidR="00663AF7">
        <w:rPr>
          <w:rFonts w:ascii="Times New Roman" w:hAnsi="Times New Roman"/>
          <w:sz w:val="23"/>
          <w:szCs w:val="23"/>
        </w:rPr>
        <w:t>Стратегия деятельности регионального центра обработки информации в период организации и проведения государственной итоговой аттестации по образовательным программам основного общего и среднего общего</w:t>
      </w:r>
      <w:r w:rsidR="007600FB" w:rsidRPr="004E061C">
        <w:rPr>
          <w:rFonts w:ascii="Times New Roman" w:hAnsi="Times New Roman"/>
          <w:sz w:val="23"/>
          <w:szCs w:val="23"/>
        </w:rPr>
        <w:t>»</w:t>
      </w:r>
      <w:r w:rsidRPr="004E061C">
        <w:rPr>
          <w:rFonts w:ascii="Times New Roman" w:hAnsi="Times New Roman"/>
          <w:i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(далее – </w:t>
      </w:r>
      <w:r w:rsidR="00663AF7">
        <w:rPr>
          <w:rFonts w:ascii="Times New Roman" w:hAnsi="Times New Roman"/>
          <w:sz w:val="23"/>
          <w:szCs w:val="23"/>
        </w:rPr>
        <w:t>ДПП ПК СД</w:t>
      </w:r>
      <w:r w:rsidRPr="004E061C">
        <w:rPr>
          <w:rFonts w:ascii="Times New Roman" w:hAnsi="Times New Roman"/>
          <w:sz w:val="23"/>
          <w:szCs w:val="23"/>
        </w:rPr>
        <w:t xml:space="preserve">), а Заказчик обязуется </w:t>
      </w:r>
      <w:r w:rsidR="00C85D19" w:rsidRPr="004E061C">
        <w:rPr>
          <w:rFonts w:ascii="Times New Roman" w:hAnsi="Times New Roman"/>
          <w:sz w:val="23"/>
          <w:szCs w:val="23"/>
        </w:rPr>
        <w:t xml:space="preserve">принять оказанные услуги и </w:t>
      </w:r>
      <w:r w:rsidR="00951D0E" w:rsidRPr="004E061C">
        <w:rPr>
          <w:rFonts w:ascii="Times New Roman" w:hAnsi="Times New Roman"/>
          <w:sz w:val="23"/>
          <w:szCs w:val="23"/>
        </w:rPr>
        <w:t xml:space="preserve">оплатить обучение сотрудников </w:t>
      </w:r>
      <w:r w:rsidRPr="004E061C">
        <w:rPr>
          <w:rFonts w:ascii="Times New Roman" w:hAnsi="Times New Roman"/>
          <w:sz w:val="23"/>
          <w:szCs w:val="23"/>
        </w:rPr>
        <w:t xml:space="preserve">по </w:t>
      </w:r>
      <w:r w:rsidR="00663AF7">
        <w:rPr>
          <w:rFonts w:ascii="Times New Roman" w:hAnsi="Times New Roman"/>
          <w:sz w:val="23"/>
          <w:szCs w:val="23"/>
        </w:rPr>
        <w:t>ДПП ПК СД</w:t>
      </w:r>
      <w:r w:rsidRPr="004E061C">
        <w:rPr>
          <w:rFonts w:ascii="Times New Roman" w:hAnsi="Times New Roman"/>
          <w:sz w:val="23"/>
          <w:szCs w:val="23"/>
        </w:rPr>
        <w:t xml:space="preserve"> (далее – Слушатели) в соответствии с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9C0AC3" w:rsidRPr="004E061C">
        <w:rPr>
          <w:rFonts w:ascii="Times New Roman" w:hAnsi="Times New Roman"/>
          <w:sz w:val="23"/>
          <w:szCs w:val="23"/>
        </w:rPr>
        <w:t>риложением</w:t>
      </w:r>
      <w:r w:rsidRPr="004E061C">
        <w:rPr>
          <w:rFonts w:ascii="Times New Roman" w:hAnsi="Times New Roman"/>
          <w:sz w:val="23"/>
          <w:szCs w:val="23"/>
        </w:rPr>
        <w:t xml:space="preserve"> к настоящему Договору.</w:t>
      </w:r>
    </w:p>
    <w:p w14:paraId="36D49F6D" w14:textId="543E0D70" w:rsidR="002F3CAD" w:rsidRPr="00C952CE" w:rsidRDefault="002F3CAD" w:rsidP="002F3CAD">
      <w:pPr>
        <w:pStyle w:val="a6"/>
        <w:numPr>
          <w:ilvl w:val="1"/>
          <w:numId w:val="1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6BE8">
        <w:rPr>
          <w:rFonts w:ascii="Times New Roman" w:hAnsi="Times New Roman"/>
          <w:sz w:val="24"/>
          <w:szCs w:val="24"/>
        </w:rPr>
        <w:t xml:space="preserve">Максимальный объем ДПП ПК СД составляет </w:t>
      </w:r>
      <w:r w:rsidR="00A85991">
        <w:rPr>
          <w:rFonts w:ascii="Times New Roman" w:hAnsi="Times New Roman"/>
          <w:sz w:val="24"/>
          <w:szCs w:val="24"/>
        </w:rPr>
        <w:t>74 академических часа</w:t>
      </w:r>
      <w:r w:rsidRPr="00926BE8">
        <w:rPr>
          <w:rFonts w:ascii="Times New Roman" w:hAnsi="Times New Roman"/>
          <w:sz w:val="24"/>
          <w:szCs w:val="24"/>
        </w:rPr>
        <w:t>. Форма</w:t>
      </w:r>
      <w:r w:rsidRPr="003738F0">
        <w:rPr>
          <w:rFonts w:ascii="Times New Roman" w:hAnsi="Times New Roman"/>
          <w:sz w:val="24"/>
          <w:szCs w:val="24"/>
        </w:rPr>
        <w:t xml:space="preserve"> обучения – </w:t>
      </w:r>
      <w:r>
        <w:rPr>
          <w:rFonts w:ascii="Times New Roman" w:hAnsi="Times New Roman"/>
          <w:sz w:val="24"/>
          <w:szCs w:val="24"/>
        </w:rPr>
        <w:t>заочно-очная с применением дистанционных образовательных технологий</w:t>
      </w:r>
      <w:r w:rsidRPr="003738F0">
        <w:rPr>
          <w:rFonts w:ascii="Times New Roman" w:hAnsi="Times New Roman"/>
          <w:sz w:val="24"/>
          <w:szCs w:val="24"/>
        </w:rPr>
        <w:t xml:space="preserve"> </w:t>
      </w:r>
      <w:r w:rsidR="00663AF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3738F0">
        <w:rPr>
          <w:rFonts w:ascii="Times New Roman" w:hAnsi="Times New Roman"/>
          <w:sz w:val="24"/>
          <w:szCs w:val="24"/>
        </w:rPr>
        <w:t xml:space="preserve">в соответствии с учебным планом и </w:t>
      </w:r>
      <w:r>
        <w:rPr>
          <w:rFonts w:ascii="Times New Roman" w:hAnsi="Times New Roman"/>
          <w:sz w:val="24"/>
          <w:szCs w:val="24"/>
        </w:rPr>
        <w:t>ДПП ПК СД</w:t>
      </w:r>
      <w:r w:rsidRPr="003738F0">
        <w:rPr>
          <w:rFonts w:ascii="Times New Roman" w:hAnsi="Times New Roman"/>
          <w:sz w:val="24"/>
          <w:szCs w:val="24"/>
        </w:rPr>
        <w:t xml:space="preserve"> Исполнителя</w:t>
      </w:r>
      <w:r>
        <w:rPr>
          <w:rFonts w:ascii="Times New Roman" w:hAnsi="Times New Roman"/>
          <w:sz w:val="24"/>
          <w:szCs w:val="24"/>
        </w:rPr>
        <w:t>)</w:t>
      </w:r>
      <w:r w:rsidRPr="003738F0">
        <w:rPr>
          <w:rFonts w:ascii="Times New Roman" w:hAnsi="Times New Roman"/>
          <w:sz w:val="24"/>
          <w:szCs w:val="24"/>
        </w:rPr>
        <w:t xml:space="preserve">. Исполнитель оказывает образовательные услуги </w:t>
      </w:r>
      <w:r>
        <w:rPr>
          <w:rFonts w:ascii="Times New Roman" w:hAnsi="Times New Roman"/>
          <w:sz w:val="24"/>
          <w:szCs w:val="24"/>
        </w:rPr>
        <w:t xml:space="preserve">по ДПП ПК СД в период </w:t>
      </w:r>
      <w:r w:rsidR="0043049D">
        <w:rPr>
          <w:rFonts w:ascii="Times New Roman" w:hAnsi="Times New Roman"/>
          <w:sz w:val="24"/>
          <w:szCs w:val="24"/>
        </w:rPr>
        <w:t xml:space="preserve">с </w:t>
      </w:r>
      <w:r w:rsidR="0085034D">
        <w:rPr>
          <w:rFonts w:ascii="Times New Roman" w:hAnsi="Times New Roman"/>
          <w:sz w:val="24"/>
          <w:szCs w:val="24"/>
        </w:rPr>
        <w:t>26</w:t>
      </w:r>
      <w:r w:rsidRPr="00926BE8">
        <w:rPr>
          <w:rFonts w:ascii="Times New Roman" w:hAnsi="Times New Roman"/>
          <w:sz w:val="24"/>
          <w:szCs w:val="24"/>
        </w:rPr>
        <w:t xml:space="preserve"> </w:t>
      </w:r>
      <w:r w:rsidR="0085034D">
        <w:rPr>
          <w:rFonts w:ascii="Times New Roman" w:hAnsi="Times New Roman"/>
          <w:sz w:val="24"/>
          <w:szCs w:val="24"/>
        </w:rPr>
        <w:t>февраля 2024</w:t>
      </w:r>
      <w:r w:rsidRPr="00926BE8">
        <w:rPr>
          <w:rFonts w:ascii="Times New Roman" w:hAnsi="Times New Roman"/>
          <w:sz w:val="24"/>
          <w:szCs w:val="24"/>
        </w:rPr>
        <w:t xml:space="preserve"> года по </w:t>
      </w:r>
      <w:r w:rsidR="0085034D">
        <w:rPr>
          <w:rFonts w:ascii="Times New Roman" w:hAnsi="Times New Roman"/>
          <w:sz w:val="24"/>
          <w:szCs w:val="24"/>
        </w:rPr>
        <w:t>15 марта 2024</w:t>
      </w:r>
      <w:r w:rsidRPr="00926BE8">
        <w:rPr>
          <w:rFonts w:ascii="Times New Roman" w:hAnsi="Times New Roman"/>
          <w:sz w:val="24"/>
          <w:szCs w:val="24"/>
        </w:rPr>
        <w:t xml:space="preserve"> года.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40DA6463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245219" w:rsidRPr="004E061C">
        <w:rPr>
          <w:rFonts w:ascii="Times New Roman" w:hAnsi="Times New Roman"/>
          <w:sz w:val="23"/>
          <w:szCs w:val="23"/>
        </w:rPr>
        <w:t xml:space="preserve">ДПП ПК </w:t>
      </w:r>
      <w:r w:rsidR="00663AF7">
        <w:rPr>
          <w:rFonts w:ascii="Times New Roman" w:hAnsi="Times New Roman"/>
          <w:sz w:val="23"/>
          <w:szCs w:val="23"/>
        </w:rPr>
        <w:t>СД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129D747C" w14:textId="50506C3C" w:rsidR="002E55D6" w:rsidRPr="004E061C" w:rsidRDefault="001B4579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lastRenderedPageBreak/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245219" w:rsidRPr="004E061C">
        <w:rPr>
          <w:b w:val="0"/>
          <w:sz w:val="23"/>
          <w:szCs w:val="23"/>
        </w:rPr>
        <w:t xml:space="preserve">ДПП ПК </w:t>
      </w:r>
      <w:r w:rsidR="00663AF7">
        <w:rPr>
          <w:b w:val="0"/>
          <w:sz w:val="23"/>
          <w:szCs w:val="23"/>
        </w:rPr>
        <w:t>СД</w:t>
      </w:r>
      <w:r w:rsidR="00206DBB" w:rsidRPr="004E061C">
        <w:rPr>
          <w:b w:val="0"/>
          <w:sz w:val="23"/>
          <w:szCs w:val="23"/>
        </w:rPr>
        <w:t>;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35B9450A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 xml:space="preserve">ия по </w:t>
      </w:r>
      <w:r w:rsidR="00245219" w:rsidRPr="004E061C">
        <w:rPr>
          <w:b w:val="0"/>
          <w:sz w:val="23"/>
          <w:szCs w:val="23"/>
        </w:rPr>
        <w:t xml:space="preserve">ДПП ПК </w:t>
      </w:r>
      <w:r w:rsidR="00663AF7">
        <w:rPr>
          <w:b w:val="0"/>
          <w:sz w:val="23"/>
          <w:szCs w:val="23"/>
        </w:rPr>
        <w:t>СД</w:t>
      </w:r>
      <w:r w:rsidR="00206DBB" w:rsidRPr="004E061C">
        <w:rPr>
          <w:b w:val="0"/>
          <w:sz w:val="23"/>
          <w:szCs w:val="23"/>
        </w:rPr>
        <w:t>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003E894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 xml:space="preserve">, копии документов, подтверждающих необходимый уровень образования для прохождения обучения </w:t>
      </w:r>
      <w:r w:rsidR="00245219" w:rsidRPr="004E061C">
        <w:rPr>
          <w:sz w:val="23"/>
          <w:szCs w:val="23"/>
        </w:rPr>
        <w:t xml:space="preserve">ДПП ПК </w:t>
      </w:r>
      <w:r w:rsidR="00663AF7">
        <w:rPr>
          <w:sz w:val="23"/>
          <w:szCs w:val="23"/>
        </w:rPr>
        <w:t>СД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222F906B" w:rsidR="00B32E3F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245219" w:rsidRPr="004E061C">
        <w:rPr>
          <w:sz w:val="23"/>
          <w:szCs w:val="23"/>
        </w:rPr>
        <w:t xml:space="preserve">ДПП ПК </w:t>
      </w:r>
      <w:r w:rsidR="00663AF7">
        <w:rPr>
          <w:sz w:val="23"/>
          <w:szCs w:val="23"/>
        </w:rPr>
        <w:t>СД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. В случае обнаружения в процессе обучения </w:t>
      </w:r>
      <w:r w:rsidR="00326B7F" w:rsidRPr="004E061C">
        <w:rPr>
          <w:rFonts w:eastAsia="Calibri"/>
          <w:sz w:val="23"/>
          <w:szCs w:val="23"/>
          <w:lang w:eastAsia="en-US"/>
        </w:rPr>
        <w:br/>
      </w:r>
      <w:r w:rsidR="00B32E3F" w:rsidRPr="004E061C">
        <w:rPr>
          <w:rFonts w:eastAsia="Calibri"/>
          <w:sz w:val="23"/>
          <w:szCs w:val="23"/>
          <w:lang w:eastAsia="en-US"/>
        </w:rPr>
        <w:t xml:space="preserve">у Слушателя отсутствия необходимого уровня предварительной подготовки для прохождения обучения по выбранной </w:t>
      </w:r>
      <w:r w:rsidR="00245219" w:rsidRPr="004E061C">
        <w:rPr>
          <w:sz w:val="23"/>
          <w:szCs w:val="23"/>
        </w:rPr>
        <w:t xml:space="preserve">ДПП ПК </w:t>
      </w:r>
      <w:r w:rsidR="00663AF7">
        <w:rPr>
          <w:sz w:val="23"/>
          <w:szCs w:val="23"/>
        </w:rPr>
        <w:t>СД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в течение 3 (трех) рабочих дней и Стороны согласовывают предоставление Исполнителем услуг на новых условиях, либо Стороны проводят расторжение Договора. В этом случае Исполнитель </w:t>
      </w:r>
      <w:r w:rsidR="00326B7F" w:rsidRPr="004E061C">
        <w:rPr>
          <w:rFonts w:eastAsia="Calibri"/>
          <w:sz w:val="23"/>
          <w:szCs w:val="23"/>
          <w:lang w:eastAsia="en-US"/>
        </w:rPr>
        <w:br/>
      </w:r>
      <w:r w:rsidR="00B32E3F" w:rsidRPr="004E061C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4E061C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1DE3D1F5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Знакомиться с реализуемой </w:t>
      </w:r>
      <w:r w:rsidR="00245219" w:rsidRPr="004E061C">
        <w:rPr>
          <w:sz w:val="23"/>
          <w:szCs w:val="23"/>
        </w:rPr>
        <w:t xml:space="preserve">ДПП ПК </w:t>
      </w:r>
      <w:r w:rsidR="00663AF7">
        <w:rPr>
          <w:sz w:val="23"/>
          <w:szCs w:val="23"/>
        </w:rPr>
        <w:t>СД</w:t>
      </w:r>
      <w:r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lastRenderedPageBreak/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797DF59B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980025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Количество слушателей составляет____.</w:t>
      </w:r>
    </w:p>
    <w:p w14:paraId="54D7108B" w14:textId="661520C9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 xml:space="preserve"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</w:t>
      </w:r>
      <w:r w:rsidR="007D4D11">
        <w:rPr>
          <w:sz w:val="23"/>
          <w:szCs w:val="23"/>
          <w:highlight w:val="yellow"/>
        </w:rPr>
        <w:br/>
      </w:r>
      <w:r w:rsidRPr="004E061C">
        <w:rPr>
          <w:sz w:val="23"/>
          <w:szCs w:val="23"/>
          <w:highlight w:val="yellow"/>
        </w:rPr>
        <w:t>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663AF7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80B676E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4E9301F1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663AF7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до </w:t>
      </w:r>
      <w:r w:rsidR="00663AF7"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3</w:t>
      </w:r>
      <w:r w:rsidR="007D4D11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1</w:t>
      </w:r>
      <w:r w:rsidR="00E816D7"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.</w:t>
      </w:r>
      <w:r w:rsidR="00C16F04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12</w:t>
      </w:r>
      <w:bookmarkStart w:id="0" w:name="_GoBack"/>
      <w:bookmarkEnd w:id="0"/>
      <w:r w:rsidR="00E816D7"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.</w:t>
      </w:r>
      <w:r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20</w:t>
      </w:r>
      <w:r w:rsidR="0052289C"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2</w:t>
      </w:r>
      <w:r w:rsidR="002F3CAD"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>4</w:t>
      </w:r>
      <w:r w:rsidRPr="00E816D7">
        <w:rPr>
          <w:rFonts w:ascii="Times New Roman" w:hAnsi="Times New Roman"/>
          <w:bCs/>
          <w:sz w:val="23"/>
          <w:szCs w:val="23"/>
          <w:shd w:val="clear" w:color="auto" w:fill="FFFFFF" w:themeFill="background1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013996A2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>Расторжение Договора не освобождает Сторон 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FE048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Прочие условия Договора</w:t>
      </w:r>
    </w:p>
    <w:p w14:paraId="7B3B85CF" w14:textId="5E7F5401" w:rsidR="00CD44C4" w:rsidRPr="004E061C" w:rsidRDefault="00CD44C4" w:rsidP="00FE048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32AE8360" w:rsidR="00CD44C4" w:rsidRPr="004E061C" w:rsidRDefault="00CD44C4" w:rsidP="00B7641B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A742CE" w:rsidRPr="004E061C">
        <w:rPr>
          <w:rFonts w:ascii="Times New Roman" w:hAnsi="Times New Roman"/>
          <w:sz w:val="23"/>
          <w:szCs w:val="23"/>
        </w:rPr>
        <w:t xml:space="preserve">ДПП ПК </w:t>
      </w:r>
      <w:r w:rsidR="00FE0486">
        <w:rPr>
          <w:rFonts w:ascii="Times New Roman" w:hAnsi="Times New Roman"/>
          <w:sz w:val="23"/>
          <w:szCs w:val="23"/>
          <w:lang w:val="en-US"/>
        </w:rPr>
        <w:t>C</w:t>
      </w:r>
      <w:r w:rsidR="00FE0486">
        <w:rPr>
          <w:rFonts w:ascii="Times New Roman" w:hAnsi="Times New Roman"/>
          <w:sz w:val="23"/>
          <w:szCs w:val="23"/>
        </w:rPr>
        <w:t>Д</w:t>
      </w:r>
      <w:r w:rsidRPr="004E061C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</w:t>
      </w:r>
      <w:r w:rsidRPr="004E061C">
        <w:rPr>
          <w:rFonts w:ascii="Times New Roman" w:hAnsi="Times New Roman"/>
          <w:bCs/>
          <w:sz w:val="23"/>
          <w:szCs w:val="23"/>
        </w:rPr>
        <w:lastRenderedPageBreak/>
        <w:t>права, подтверждающие уведомления, должны быть сохранены.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 Л</w:t>
      </w:r>
      <w:r w:rsidRPr="004E061C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4E061C">
        <w:rPr>
          <w:rFonts w:ascii="Times New Roman" w:hAnsi="Times New Roman"/>
          <w:bCs/>
          <w:sz w:val="23"/>
          <w:szCs w:val="23"/>
        </w:rPr>
        <w:t>повторение</w:t>
      </w:r>
      <w:r w:rsidRPr="004E061C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63C48DA5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Коммерческое употребление и злоупотребление товарными знаками, как и любыми другими материалами без письменного разрешения Исполнителя, запрещено 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7A329704" w:rsidR="002E55D6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FE0486">
        <w:rPr>
          <w:b/>
          <w:bCs/>
          <w:sz w:val="23"/>
          <w:szCs w:val="23"/>
        </w:rPr>
        <w:t xml:space="preserve"> 1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3A56EC" w:rsidRPr="004E061C">
        <w:rPr>
          <w:sz w:val="23"/>
          <w:szCs w:val="23"/>
        </w:rPr>
        <w:t xml:space="preserve"> по</w:t>
      </w:r>
      <w:r w:rsidR="002766A9" w:rsidRPr="004E061C">
        <w:rPr>
          <w:sz w:val="23"/>
          <w:szCs w:val="23"/>
        </w:rPr>
        <w:t xml:space="preserve"> </w:t>
      </w:r>
      <w:r w:rsidR="00FB5F22" w:rsidRPr="004E061C">
        <w:rPr>
          <w:sz w:val="23"/>
          <w:szCs w:val="23"/>
        </w:rPr>
        <w:t xml:space="preserve">ДПП ПК </w:t>
      </w:r>
      <w:r w:rsidR="00FE0486">
        <w:rPr>
          <w:sz w:val="23"/>
          <w:szCs w:val="23"/>
        </w:rPr>
        <w:t>СД</w:t>
      </w:r>
      <w:r w:rsidR="00206DBB" w:rsidRPr="004E061C">
        <w:rPr>
          <w:sz w:val="23"/>
          <w:szCs w:val="23"/>
        </w:rPr>
        <w:t>.</w:t>
      </w:r>
    </w:p>
    <w:p w14:paraId="01D872C9" w14:textId="1D357AB4" w:rsidR="00FE0486" w:rsidRPr="004E061C" w:rsidRDefault="00FE0486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FE0486">
        <w:rPr>
          <w:b/>
          <w:sz w:val="23"/>
          <w:szCs w:val="23"/>
        </w:rPr>
        <w:t>Приложение 2</w:t>
      </w:r>
      <w:r w:rsidRPr="00FE0486">
        <w:rPr>
          <w:sz w:val="23"/>
          <w:szCs w:val="23"/>
        </w:rPr>
        <w:t xml:space="preserve"> - </w:t>
      </w:r>
      <w:r w:rsidRPr="00FE0486">
        <w:rPr>
          <w:bCs/>
          <w:sz w:val="23"/>
          <w:szCs w:val="23"/>
        </w:rPr>
        <w:t xml:space="preserve">Цена Договора на оказание платных образовательных услуг </w:t>
      </w:r>
      <w:r w:rsidRPr="00FE0486">
        <w:rPr>
          <w:bCs/>
          <w:sz w:val="23"/>
          <w:szCs w:val="23"/>
        </w:rPr>
        <w:br/>
        <w:t xml:space="preserve">по </w:t>
      </w:r>
      <w:r w:rsidRPr="00FE0486">
        <w:rPr>
          <w:sz w:val="23"/>
          <w:szCs w:val="23"/>
        </w:rPr>
        <w:t>дополнительной профессиональной программе повышения квалификации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980025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980025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980025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980025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980025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98002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980025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980025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980025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C16F04" w:rsidP="00980025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980025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980025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980025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980025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5BAB5F50" w14:textId="77777777" w:rsidR="00A4290A" w:rsidRDefault="00A4290A" w:rsidP="00A4290A">
            <w:pPr>
              <w:widowControl w:val="0"/>
              <w:rPr>
                <w:color w:val="000000"/>
              </w:rPr>
            </w:pPr>
          </w:p>
          <w:p w14:paraId="5874557B" w14:textId="77777777" w:rsidR="00A4290A" w:rsidRDefault="00A4290A" w:rsidP="00A4290A">
            <w:pPr>
              <w:widowControl w:val="0"/>
              <w:rPr>
                <w:color w:val="000000"/>
              </w:rPr>
            </w:pPr>
          </w:p>
          <w:p w14:paraId="4AB1B1E6" w14:textId="36DEB5A8" w:rsidR="00A4290A" w:rsidRPr="00A4290A" w:rsidRDefault="00A4290A" w:rsidP="00A4290A">
            <w:pPr>
              <w:widowControl w:val="0"/>
              <w:rPr>
                <w:color w:val="000000"/>
              </w:rPr>
            </w:pPr>
            <w:r w:rsidRPr="00A4290A">
              <w:rPr>
                <w:color w:val="000000"/>
              </w:rPr>
              <w:t xml:space="preserve">Заместитель директора </w:t>
            </w:r>
          </w:p>
          <w:p w14:paraId="1E02AC08" w14:textId="77777777" w:rsidR="00A4290A" w:rsidRPr="00A4290A" w:rsidRDefault="00A4290A" w:rsidP="00A4290A">
            <w:pPr>
              <w:widowControl w:val="0"/>
              <w:rPr>
                <w:color w:val="000000"/>
              </w:rPr>
            </w:pPr>
          </w:p>
          <w:p w14:paraId="678E82D3" w14:textId="77777777" w:rsidR="00A4290A" w:rsidRPr="00A4290A" w:rsidRDefault="00A4290A" w:rsidP="00A4290A">
            <w:pPr>
              <w:widowControl w:val="0"/>
              <w:tabs>
                <w:tab w:val="right" w:leader="underscore" w:pos="4321"/>
              </w:tabs>
              <w:rPr>
                <w:color w:val="000000"/>
              </w:rPr>
            </w:pPr>
            <w:r w:rsidRPr="00A4290A">
              <w:t>___________________</w:t>
            </w:r>
            <w:r w:rsidRPr="00A4290A">
              <w:rPr>
                <w:color w:val="000000"/>
              </w:rPr>
              <w:t>/И.В. Синькова</w:t>
            </w:r>
            <w:r w:rsidRPr="00A4290A">
              <w:t>/</w:t>
            </w:r>
          </w:p>
          <w:p w14:paraId="4613CA35" w14:textId="613DC346" w:rsidR="003A56EC" w:rsidRPr="004E061C" w:rsidRDefault="00A4290A" w:rsidP="00A4290A">
            <w:pPr>
              <w:rPr>
                <w:sz w:val="23"/>
                <w:szCs w:val="23"/>
              </w:rPr>
            </w:pPr>
            <w:r w:rsidRPr="00A4290A">
              <w:rPr>
                <w:color w:val="000000"/>
              </w:rPr>
              <w:t>М.П.</w:t>
            </w:r>
          </w:p>
        </w:tc>
      </w:tr>
    </w:tbl>
    <w:p w14:paraId="14849545" w14:textId="1740FE51" w:rsidR="00D04DA7" w:rsidRDefault="00D04DA7">
      <w:pPr>
        <w:rPr>
          <w:sz w:val="23"/>
          <w:szCs w:val="23"/>
        </w:rPr>
      </w:pPr>
    </w:p>
    <w:p w14:paraId="1012FCB3" w14:textId="77777777" w:rsidR="004E061C" w:rsidRDefault="004E061C">
      <w:pPr>
        <w:rPr>
          <w:sz w:val="23"/>
          <w:szCs w:val="23"/>
        </w:rPr>
      </w:pPr>
    </w:p>
    <w:p w14:paraId="43751068" w14:textId="77777777" w:rsidR="004E061C" w:rsidRDefault="004E061C">
      <w:pPr>
        <w:rPr>
          <w:sz w:val="23"/>
          <w:szCs w:val="23"/>
        </w:rPr>
      </w:pPr>
    </w:p>
    <w:p w14:paraId="18EBC70C" w14:textId="77777777" w:rsidR="00E816D7" w:rsidRDefault="004E061C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</w:p>
    <w:p w14:paraId="36DE912B" w14:textId="77777777" w:rsidR="00E816D7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1373E8BA" w14:textId="77777777" w:rsidR="00E816D7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0B3F3B2" w14:textId="77777777" w:rsidR="00E816D7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98E27B" w14:textId="77777777" w:rsidR="00E816D7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E357B52" w14:textId="77777777" w:rsidR="00E816D7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F2329AE" w:rsidR="000F109C" w:rsidRPr="004E061C" w:rsidRDefault="00E816D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</w:t>
      </w:r>
      <w:r w:rsidR="000F109C" w:rsidRPr="004E061C">
        <w:rPr>
          <w:sz w:val="23"/>
          <w:szCs w:val="23"/>
        </w:rPr>
        <w:t>Приложение</w:t>
      </w:r>
      <w:r w:rsidR="00FE0486">
        <w:rPr>
          <w:sz w:val="23"/>
          <w:szCs w:val="23"/>
        </w:rPr>
        <w:t>1</w:t>
      </w:r>
    </w:p>
    <w:p w14:paraId="47938705" w14:textId="1D4C1361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FE0486">
        <w:rPr>
          <w:sz w:val="23"/>
          <w:szCs w:val="23"/>
        </w:rPr>
        <w:t>СД</w:t>
      </w:r>
      <w:r w:rsidRPr="004E061C">
        <w:rPr>
          <w:sz w:val="23"/>
          <w:szCs w:val="23"/>
        </w:rPr>
        <w:t>-___</w:t>
      </w:r>
      <w:r w:rsidR="004E061C">
        <w:rPr>
          <w:sz w:val="23"/>
          <w:szCs w:val="23"/>
        </w:rPr>
        <w:t>____</w:t>
      </w:r>
      <w:r w:rsidRPr="004E061C">
        <w:rPr>
          <w:sz w:val="23"/>
          <w:szCs w:val="23"/>
        </w:rPr>
        <w:t>__</w:t>
      </w:r>
      <w:r w:rsidR="0085034D">
        <w:rPr>
          <w:sz w:val="23"/>
          <w:szCs w:val="23"/>
        </w:rPr>
        <w:t>06/2024</w:t>
      </w:r>
    </w:p>
    <w:p w14:paraId="01AF93E0" w14:textId="1E40DD41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85034D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1D971EE9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FE0486" w:rsidRPr="00FE0486">
        <w:rPr>
          <w:sz w:val="23"/>
          <w:szCs w:val="23"/>
        </w:rPr>
        <w:t xml:space="preserve">Стратегия деятельности регионального центра обработки информации </w:t>
      </w:r>
      <w:r w:rsidR="00FE0486" w:rsidRPr="00FE0486">
        <w:rPr>
          <w:sz w:val="23"/>
          <w:szCs w:val="23"/>
        </w:rPr>
        <w:br/>
        <w:t xml:space="preserve">в период организации и проведения государственной итоговой аттестации </w:t>
      </w:r>
      <w:r w:rsidR="00FE0486" w:rsidRPr="00FE0486">
        <w:rPr>
          <w:sz w:val="23"/>
          <w:szCs w:val="23"/>
        </w:rPr>
        <w:br/>
        <w:t>по образовательным программам основного общего и среднего общего образования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627"/>
      </w:tblGrid>
      <w:tr w:rsidR="00FE0486" w:rsidRPr="00FE0486" w14:paraId="3EB389E9" w14:textId="77777777" w:rsidTr="00980025">
        <w:trPr>
          <w:trHeight w:val="511"/>
          <w:tblHeader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4FCB3BC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№ п/п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2D880306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ФИО слушателя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55E8BAD8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Место работы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5C54DD1D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Должность</w:t>
            </w:r>
          </w:p>
        </w:tc>
      </w:tr>
      <w:tr w:rsidR="00FE0486" w:rsidRPr="00FE0486" w14:paraId="10D28A0A" w14:textId="77777777" w:rsidTr="00980025">
        <w:trPr>
          <w:trHeight w:val="447"/>
          <w:jc w:val="center"/>
        </w:trPr>
        <w:tc>
          <w:tcPr>
            <w:tcW w:w="9635" w:type="dxa"/>
            <w:gridSpan w:val="4"/>
            <w:shd w:val="clear" w:color="auto" w:fill="DEEAF6" w:themeFill="accent1" w:themeFillTint="33"/>
            <w:vAlign w:val="center"/>
          </w:tcPr>
          <w:p w14:paraId="08BE8A76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Инвариантный модуль</w:t>
            </w:r>
          </w:p>
        </w:tc>
      </w:tr>
      <w:tr w:rsidR="00FE0486" w:rsidRPr="00FE0486" w14:paraId="41E36141" w14:textId="77777777" w:rsidTr="00980025">
        <w:trPr>
          <w:trHeight w:val="447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8066BCF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1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2962DDA9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14:paraId="50DE60CE" w14:textId="77777777" w:rsidR="00FE0486" w:rsidRPr="00FE0486" w:rsidRDefault="00FE0486" w:rsidP="00FE0486">
            <w:pPr>
              <w:jc w:val="center"/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7E349274" w14:textId="77777777" w:rsidR="00FE0486" w:rsidRPr="00FE0486" w:rsidRDefault="00FE0486" w:rsidP="00FE0486">
            <w:pPr>
              <w:jc w:val="center"/>
            </w:pPr>
          </w:p>
        </w:tc>
      </w:tr>
      <w:tr w:rsidR="00FE0486" w:rsidRPr="00FE0486" w14:paraId="07CA0BB1" w14:textId="77777777" w:rsidTr="00980025">
        <w:trPr>
          <w:trHeight w:val="447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B16D0DB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2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45573E05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FFFFFF" w:themeFill="background1"/>
            <w:vAlign w:val="center"/>
          </w:tcPr>
          <w:p w14:paraId="3EF32533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14:paraId="10E6F823" w14:textId="77777777" w:rsidR="00FE0486" w:rsidRPr="00FE0486" w:rsidRDefault="00FE0486" w:rsidP="00FE0486">
            <w:pPr>
              <w:spacing w:line="360" w:lineRule="auto"/>
            </w:pPr>
          </w:p>
        </w:tc>
      </w:tr>
      <w:tr w:rsidR="00FE0486" w:rsidRPr="00FE0486" w14:paraId="1FF9B3C2" w14:textId="77777777" w:rsidTr="00980025">
        <w:trPr>
          <w:jc w:val="center"/>
        </w:trPr>
        <w:tc>
          <w:tcPr>
            <w:tcW w:w="9635" w:type="dxa"/>
            <w:gridSpan w:val="4"/>
            <w:shd w:val="clear" w:color="auto" w:fill="DEEAF6" w:themeFill="accent1" w:themeFillTint="33"/>
          </w:tcPr>
          <w:p w14:paraId="676EC7F3" w14:textId="361120C5" w:rsidR="00FE0486" w:rsidRPr="00FE0486" w:rsidRDefault="00FE0486" w:rsidP="00FE0486">
            <w:pPr>
              <w:jc w:val="center"/>
            </w:pPr>
            <w:r w:rsidRPr="00FE0486">
              <w:t xml:space="preserve">Модуль «Организационно-технологические особенности проведения экзаменов </w:t>
            </w:r>
            <w:r w:rsidRPr="00FE0486">
              <w:br/>
              <w:t>по образовательным программам основного общего и среднего общего образования»</w:t>
            </w:r>
          </w:p>
        </w:tc>
      </w:tr>
      <w:tr w:rsidR="00FE0486" w:rsidRPr="00FE0486" w14:paraId="6C394906" w14:textId="77777777" w:rsidTr="00980025">
        <w:trPr>
          <w:jc w:val="center"/>
        </w:trPr>
        <w:tc>
          <w:tcPr>
            <w:tcW w:w="988" w:type="dxa"/>
            <w:shd w:val="clear" w:color="auto" w:fill="auto"/>
          </w:tcPr>
          <w:p w14:paraId="4971E454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315155F7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auto"/>
          </w:tcPr>
          <w:p w14:paraId="185BAA57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627" w:type="dxa"/>
            <w:shd w:val="clear" w:color="auto" w:fill="auto"/>
          </w:tcPr>
          <w:p w14:paraId="0FA29BA2" w14:textId="77777777" w:rsidR="00FE0486" w:rsidRPr="00FE0486" w:rsidRDefault="00FE0486" w:rsidP="00FE0486">
            <w:pPr>
              <w:spacing w:line="360" w:lineRule="auto"/>
            </w:pPr>
          </w:p>
        </w:tc>
      </w:tr>
      <w:tr w:rsidR="00FE0486" w:rsidRPr="00FE0486" w14:paraId="1E9C8671" w14:textId="77777777" w:rsidTr="00980025">
        <w:trPr>
          <w:jc w:val="center"/>
        </w:trPr>
        <w:tc>
          <w:tcPr>
            <w:tcW w:w="988" w:type="dxa"/>
            <w:shd w:val="clear" w:color="auto" w:fill="auto"/>
          </w:tcPr>
          <w:p w14:paraId="6CB36DB4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3A847C6A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auto"/>
          </w:tcPr>
          <w:p w14:paraId="07A5C940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627" w:type="dxa"/>
            <w:shd w:val="clear" w:color="auto" w:fill="auto"/>
          </w:tcPr>
          <w:p w14:paraId="7E264E73" w14:textId="77777777" w:rsidR="00FE0486" w:rsidRPr="00FE0486" w:rsidRDefault="00FE0486" w:rsidP="00FE0486">
            <w:pPr>
              <w:spacing w:line="360" w:lineRule="auto"/>
            </w:pPr>
          </w:p>
        </w:tc>
      </w:tr>
      <w:tr w:rsidR="00FE0486" w:rsidRPr="00FE0486" w14:paraId="7175A6A7" w14:textId="77777777" w:rsidTr="00980025">
        <w:trPr>
          <w:jc w:val="center"/>
        </w:trPr>
        <w:tc>
          <w:tcPr>
            <w:tcW w:w="9635" w:type="dxa"/>
            <w:gridSpan w:val="4"/>
            <w:shd w:val="clear" w:color="auto" w:fill="DEEAF6" w:themeFill="accent1" w:themeFillTint="33"/>
          </w:tcPr>
          <w:p w14:paraId="75DE6FD8" w14:textId="6D52301B" w:rsidR="00FE0486" w:rsidRPr="00FE0486" w:rsidRDefault="00FE0486" w:rsidP="00FE0486">
            <w:pPr>
              <w:jc w:val="center"/>
            </w:pPr>
            <w:r w:rsidRPr="00FE0486">
              <w:t xml:space="preserve">Модуль «Ключевые аспекты деятельности регионального центра обработки информации по эксплуатации  РИС ГИА, её взаимодействие с ФИС ГИА </w:t>
            </w:r>
            <w:r w:rsidRPr="00FE0486">
              <w:br/>
              <w:t>и технологическому обеспечению проведения экзаменов»</w:t>
            </w:r>
          </w:p>
        </w:tc>
      </w:tr>
      <w:tr w:rsidR="00FE0486" w:rsidRPr="00FE0486" w14:paraId="3547A632" w14:textId="77777777" w:rsidTr="00980025">
        <w:trPr>
          <w:jc w:val="center"/>
        </w:trPr>
        <w:tc>
          <w:tcPr>
            <w:tcW w:w="988" w:type="dxa"/>
            <w:shd w:val="clear" w:color="auto" w:fill="auto"/>
          </w:tcPr>
          <w:p w14:paraId="4987582B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684E3B11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auto"/>
          </w:tcPr>
          <w:p w14:paraId="1C3CE607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627" w:type="dxa"/>
            <w:shd w:val="clear" w:color="auto" w:fill="auto"/>
          </w:tcPr>
          <w:p w14:paraId="67514EC4" w14:textId="77777777" w:rsidR="00FE0486" w:rsidRPr="00FE0486" w:rsidRDefault="00FE0486" w:rsidP="00FE0486">
            <w:pPr>
              <w:spacing w:line="360" w:lineRule="auto"/>
            </w:pPr>
          </w:p>
        </w:tc>
      </w:tr>
      <w:tr w:rsidR="00FE0486" w:rsidRPr="00FE0486" w14:paraId="25903848" w14:textId="77777777" w:rsidTr="00980025">
        <w:trPr>
          <w:jc w:val="center"/>
        </w:trPr>
        <w:tc>
          <w:tcPr>
            <w:tcW w:w="988" w:type="dxa"/>
            <w:shd w:val="clear" w:color="auto" w:fill="auto"/>
          </w:tcPr>
          <w:p w14:paraId="18BFA2B5" w14:textId="77777777" w:rsidR="00FE0486" w:rsidRPr="00FE0486" w:rsidRDefault="00FE0486" w:rsidP="00FE0486">
            <w:pPr>
              <w:jc w:val="center"/>
              <w:rPr>
                <w:b/>
              </w:rPr>
            </w:pPr>
            <w:r w:rsidRPr="00FE0486">
              <w:rPr>
                <w:b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0AD1CBBB" w14:textId="7E1BB95D" w:rsidR="00FE0486" w:rsidRPr="00FE0486" w:rsidRDefault="00FE0486" w:rsidP="00FE0486">
            <w:pPr>
              <w:spacing w:line="360" w:lineRule="auto"/>
            </w:pPr>
          </w:p>
        </w:tc>
        <w:tc>
          <w:tcPr>
            <w:tcW w:w="2336" w:type="dxa"/>
            <w:shd w:val="clear" w:color="auto" w:fill="auto"/>
          </w:tcPr>
          <w:p w14:paraId="2D816D79" w14:textId="77777777" w:rsidR="00FE0486" w:rsidRPr="00FE0486" w:rsidRDefault="00FE0486" w:rsidP="00FE0486">
            <w:pPr>
              <w:spacing w:line="360" w:lineRule="auto"/>
            </w:pPr>
          </w:p>
        </w:tc>
        <w:tc>
          <w:tcPr>
            <w:tcW w:w="2627" w:type="dxa"/>
            <w:shd w:val="clear" w:color="auto" w:fill="auto"/>
          </w:tcPr>
          <w:p w14:paraId="595178B2" w14:textId="77777777" w:rsidR="00FE0486" w:rsidRPr="00FE0486" w:rsidRDefault="00FE0486" w:rsidP="00FE0486">
            <w:pPr>
              <w:spacing w:line="360" w:lineRule="auto"/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980025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980025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980025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9FA10D" w14:textId="77777777" w:rsidR="00D6735D" w:rsidRDefault="00D6735D" w:rsidP="00D6735D">
      <w:pPr>
        <w:pStyle w:val="a4"/>
        <w:tabs>
          <w:tab w:val="left" w:pos="84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4640" w:type="pct"/>
        <w:jc w:val="center"/>
        <w:tblLook w:val="04A0" w:firstRow="1" w:lastRow="0" w:firstColumn="1" w:lastColumn="0" w:noHBand="0" w:noVBand="1"/>
      </w:tblPr>
      <w:tblGrid>
        <w:gridCol w:w="4904"/>
        <w:gridCol w:w="473"/>
        <w:gridCol w:w="4294"/>
      </w:tblGrid>
      <w:tr w:rsidR="00D6735D" w:rsidRPr="004E061C" w14:paraId="2FA22834" w14:textId="77777777" w:rsidTr="00D6735D">
        <w:trPr>
          <w:cantSplit/>
          <w:trHeight w:val="1265"/>
          <w:jc w:val="center"/>
        </w:trPr>
        <w:tc>
          <w:tcPr>
            <w:tcW w:w="4904" w:type="dxa"/>
            <w:shd w:val="clear" w:color="auto" w:fill="auto"/>
          </w:tcPr>
          <w:p w14:paraId="30F2328F" w14:textId="77777777" w:rsidR="00D6735D" w:rsidRPr="004E061C" w:rsidRDefault="00D6735D" w:rsidP="00D6735D">
            <w:pPr>
              <w:widowContro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</w:t>
            </w:r>
            <w:r w:rsidRPr="004E061C">
              <w:rPr>
                <w:b/>
                <w:sz w:val="23"/>
                <w:szCs w:val="23"/>
              </w:rPr>
              <w:t>аказчик</w:t>
            </w:r>
          </w:p>
          <w:p w14:paraId="568A72B0" w14:textId="77777777" w:rsidR="00D6735D" w:rsidRPr="004E061C" w:rsidRDefault="00D6735D" w:rsidP="00D6735D">
            <w:pPr>
              <w:widowControl w:val="0"/>
              <w:rPr>
                <w:b/>
                <w:sz w:val="23"/>
                <w:szCs w:val="23"/>
              </w:rPr>
            </w:pPr>
          </w:p>
          <w:p w14:paraId="185EA281" w14:textId="77777777" w:rsidR="00D6735D" w:rsidRPr="004E061C" w:rsidRDefault="00D6735D" w:rsidP="00D6735D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018CFD2B" w14:textId="77777777" w:rsidR="00D6735D" w:rsidRPr="004E061C" w:rsidRDefault="00D6735D" w:rsidP="00D6735D">
            <w:pPr>
              <w:widowControl w:val="0"/>
              <w:rPr>
                <w:sz w:val="23"/>
                <w:szCs w:val="23"/>
              </w:rPr>
            </w:pPr>
          </w:p>
          <w:p w14:paraId="58ED930A" w14:textId="77777777" w:rsidR="00D6735D" w:rsidRPr="004E061C" w:rsidRDefault="00D6735D" w:rsidP="00D6735D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2D2ED365" w14:textId="77777777" w:rsidR="00D6735D" w:rsidRPr="004E061C" w:rsidRDefault="00D6735D" w:rsidP="00D6735D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3" w:type="dxa"/>
            <w:shd w:val="clear" w:color="auto" w:fill="auto"/>
          </w:tcPr>
          <w:p w14:paraId="787082EF" w14:textId="77777777" w:rsidR="00D6735D" w:rsidRPr="004E061C" w:rsidRDefault="00D6735D" w:rsidP="00D6735D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94" w:type="dxa"/>
            <w:shd w:val="clear" w:color="auto" w:fill="auto"/>
          </w:tcPr>
          <w:p w14:paraId="57D26C4A" w14:textId="77777777" w:rsidR="00D6735D" w:rsidRPr="004E061C" w:rsidRDefault="00D6735D" w:rsidP="00D6735D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3E9144ED" w14:textId="77777777" w:rsidR="00D6735D" w:rsidRPr="004E061C" w:rsidRDefault="00D6735D" w:rsidP="00D6735D">
            <w:pPr>
              <w:widowControl w:val="0"/>
              <w:rPr>
                <w:b/>
                <w:sz w:val="23"/>
                <w:szCs w:val="23"/>
              </w:rPr>
            </w:pPr>
          </w:p>
          <w:p w14:paraId="37E9253A" w14:textId="77777777" w:rsidR="00D6735D" w:rsidRPr="00D6735D" w:rsidRDefault="00D6735D" w:rsidP="00D6735D">
            <w:pPr>
              <w:widowControl w:val="0"/>
              <w:rPr>
                <w:color w:val="000000"/>
                <w:sz w:val="23"/>
                <w:szCs w:val="23"/>
              </w:rPr>
            </w:pPr>
            <w:r w:rsidRPr="00D6735D">
              <w:rPr>
                <w:color w:val="000000"/>
                <w:sz w:val="23"/>
                <w:szCs w:val="23"/>
              </w:rPr>
              <w:t>Заместитель директора ФГБУ «ФЦТ»</w:t>
            </w:r>
          </w:p>
          <w:p w14:paraId="0645E6B5" w14:textId="77777777" w:rsidR="00D6735D" w:rsidRPr="00D6735D" w:rsidRDefault="00D6735D" w:rsidP="00D6735D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42B06FEA" w14:textId="77777777" w:rsidR="00D6735D" w:rsidRPr="00D6735D" w:rsidRDefault="00D6735D" w:rsidP="00D6735D">
            <w:pPr>
              <w:widowControl w:val="0"/>
              <w:rPr>
                <w:color w:val="000000"/>
                <w:sz w:val="23"/>
                <w:szCs w:val="23"/>
              </w:rPr>
            </w:pPr>
            <w:r w:rsidRPr="00D6735D">
              <w:rPr>
                <w:color w:val="000000"/>
                <w:sz w:val="23"/>
                <w:szCs w:val="23"/>
              </w:rPr>
              <w:t>___________________/И.В. Синькова/</w:t>
            </w:r>
          </w:p>
          <w:p w14:paraId="3974D357" w14:textId="77777777" w:rsidR="00D6735D" w:rsidRDefault="00D6735D" w:rsidP="00E816D7">
            <w:pPr>
              <w:widowControl w:val="0"/>
              <w:rPr>
                <w:color w:val="000000"/>
                <w:sz w:val="23"/>
                <w:szCs w:val="23"/>
              </w:rPr>
            </w:pPr>
            <w:r w:rsidRPr="00D6735D">
              <w:rPr>
                <w:color w:val="000000"/>
                <w:sz w:val="23"/>
                <w:szCs w:val="23"/>
              </w:rPr>
              <w:t>М.П.</w:t>
            </w:r>
            <w:r w:rsidRPr="004E061C">
              <w:rPr>
                <w:color w:val="000000"/>
                <w:sz w:val="23"/>
                <w:szCs w:val="23"/>
              </w:rPr>
              <w:t>.</w:t>
            </w:r>
          </w:p>
          <w:p w14:paraId="51DC8A72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14B80917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73416A61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2F9AFFD4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685533C4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27AFD88C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20132D61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1AC0B6C3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6E30061E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43679E57" w14:textId="77777777" w:rsidR="0085034D" w:rsidRDefault="0085034D" w:rsidP="00E816D7">
            <w:pPr>
              <w:widowControl w:val="0"/>
              <w:rPr>
                <w:color w:val="000000"/>
                <w:sz w:val="23"/>
                <w:szCs w:val="23"/>
              </w:rPr>
            </w:pPr>
          </w:p>
          <w:p w14:paraId="1E5EA30F" w14:textId="4302D3C6" w:rsidR="0085034D" w:rsidRPr="004E061C" w:rsidRDefault="0085034D" w:rsidP="00E816D7">
            <w:pPr>
              <w:widowControl w:val="0"/>
              <w:rPr>
                <w:b/>
                <w:sz w:val="23"/>
                <w:szCs w:val="23"/>
              </w:rPr>
            </w:pPr>
          </w:p>
        </w:tc>
      </w:tr>
    </w:tbl>
    <w:p w14:paraId="52637BC4" w14:textId="77777777" w:rsidR="00D6735D" w:rsidRPr="00D6735D" w:rsidRDefault="00D6735D" w:rsidP="00D6735D">
      <w:pPr>
        <w:shd w:val="clear" w:color="auto" w:fill="FFFFFF"/>
        <w:spacing w:line="276" w:lineRule="auto"/>
        <w:ind w:left="6096"/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 w:rsidRPr="00D6735D">
        <w:t xml:space="preserve">Приложение 2 </w:t>
      </w:r>
    </w:p>
    <w:p w14:paraId="4D8FFAB3" w14:textId="048757A7" w:rsidR="00D6735D" w:rsidRPr="00D6735D" w:rsidRDefault="00D6735D" w:rsidP="00D6735D">
      <w:pPr>
        <w:spacing w:line="276" w:lineRule="auto"/>
        <w:ind w:left="6096"/>
      </w:pPr>
      <w:r w:rsidRPr="00D6735D">
        <w:t>к Договору № ОП-СД-____-</w:t>
      </w:r>
      <w:r w:rsidR="0085034D">
        <w:t>06/2024</w:t>
      </w:r>
    </w:p>
    <w:p w14:paraId="27917F78" w14:textId="462E8CD3" w:rsidR="00D6735D" w:rsidRPr="00D6735D" w:rsidRDefault="0085034D" w:rsidP="00D6735D">
      <w:pPr>
        <w:spacing w:line="276" w:lineRule="auto"/>
        <w:ind w:left="6096"/>
      </w:pPr>
      <w:r>
        <w:t>от ___.___.2024</w:t>
      </w:r>
      <w:r w:rsidR="00D6735D" w:rsidRPr="00D6735D">
        <w:t xml:space="preserve"> г.</w:t>
      </w:r>
    </w:p>
    <w:p w14:paraId="13D3DB4A" w14:textId="77777777" w:rsidR="00D6735D" w:rsidRPr="00D6735D" w:rsidRDefault="00D6735D" w:rsidP="00D6735D"/>
    <w:p w14:paraId="41905E4E" w14:textId="77777777" w:rsidR="00D6735D" w:rsidRPr="00D6735D" w:rsidRDefault="00D6735D" w:rsidP="00D6735D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 w:rsidRPr="00D6735D">
        <w:rPr>
          <w:b/>
          <w:bCs/>
        </w:rPr>
        <w:t xml:space="preserve">Цена Договора на оказание платных образовательных услуг </w:t>
      </w:r>
    </w:p>
    <w:p w14:paraId="5A7EA78F" w14:textId="77777777" w:rsidR="00D6735D" w:rsidRPr="00D6735D" w:rsidRDefault="00D6735D" w:rsidP="00D6735D">
      <w:pPr>
        <w:shd w:val="clear" w:color="auto" w:fill="FFFFFF"/>
        <w:tabs>
          <w:tab w:val="left" w:pos="851"/>
        </w:tabs>
        <w:jc w:val="center"/>
        <w:rPr>
          <w:b/>
        </w:rPr>
      </w:pPr>
      <w:r w:rsidRPr="00D6735D">
        <w:rPr>
          <w:b/>
          <w:bCs/>
        </w:rPr>
        <w:t xml:space="preserve">по </w:t>
      </w:r>
      <w:r w:rsidRPr="00D6735D">
        <w:rPr>
          <w:b/>
        </w:rPr>
        <w:t>дополнительной профессиональной программе повышения квалификации</w:t>
      </w:r>
    </w:p>
    <w:p w14:paraId="47EEEEE4" w14:textId="77777777" w:rsidR="00D6735D" w:rsidRPr="00D6735D" w:rsidRDefault="00D6735D" w:rsidP="00D6735D">
      <w:pPr>
        <w:jc w:val="center"/>
      </w:pPr>
      <w:r w:rsidRPr="00D6735D">
        <w:t xml:space="preserve">«Стратегия деятельности регионального центра обработки информации </w:t>
      </w:r>
      <w:r w:rsidRPr="00D6735D">
        <w:br/>
        <w:t xml:space="preserve">в период организации и проведения государственной итоговой аттестации </w:t>
      </w:r>
      <w:r w:rsidRPr="00D6735D">
        <w:br/>
        <w:t>по образовательным программам основного общего и среднего общего образования»</w:t>
      </w:r>
    </w:p>
    <w:p w14:paraId="344F87C8" w14:textId="77777777" w:rsidR="00D6735D" w:rsidRPr="00D6735D" w:rsidRDefault="00D6735D" w:rsidP="00D6735D">
      <w:pPr>
        <w:shd w:val="clear" w:color="auto" w:fill="FFFFFF"/>
        <w:tabs>
          <w:tab w:val="left" w:pos="851"/>
        </w:tabs>
        <w:jc w:val="center"/>
        <w:rPr>
          <w:b/>
        </w:rPr>
      </w:pP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582"/>
        <w:gridCol w:w="4111"/>
        <w:gridCol w:w="1701"/>
        <w:gridCol w:w="1571"/>
        <w:gridCol w:w="2119"/>
      </w:tblGrid>
      <w:tr w:rsidR="00D6735D" w:rsidRPr="00D6735D" w14:paraId="7D474DF9" w14:textId="77777777" w:rsidTr="00D6735D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18CD29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37F00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Наименование модуля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C0C6C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Стоимость за 1 слушателя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657AE2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Кол-во Слушателей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7D5F0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Общая стоимость</w:t>
            </w:r>
            <w:r w:rsidRPr="00D6735D">
              <w:rPr>
                <w:b/>
                <w:bCs/>
                <w:color w:val="000000"/>
              </w:rPr>
              <w:br/>
              <w:t xml:space="preserve"> за модуль  </w:t>
            </w:r>
          </w:p>
        </w:tc>
      </w:tr>
      <w:tr w:rsidR="00D6735D" w:rsidRPr="00D6735D" w14:paraId="2DEC6BE9" w14:textId="77777777" w:rsidTr="00D6735D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FA" w14:textId="77777777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  <w:r w:rsidRPr="00D6735D">
              <w:rPr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8A9" w14:textId="77777777" w:rsidR="00D6735D" w:rsidRPr="00D6735D" w:rsidRDefault="00D6735D" w:rsidP="00D6735D">
            <w:pPr>
              <w:rPr>
                <w:bCs/>
                <w:color w:val="000000"/>
              </w:rPr>
            </w:pPr>
            <w:r w:rsidRPr="00D6735D">
              <w:rPr>
                <w:bCs/>
                <w:color w:val="000000"/>
              </w:rPr>
              <w:t>Инвариантный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F693D" w14:textId="77777777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  <w:r w:rsidRPr="00D6735D">
              <w:rPr>
                <w:bCs/>
                <w:color w:val="000000"/>
              </w:rPr>
              <w:t>15 500,00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2DF1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35CA" w14:textId="77777777" w:rsidR="00D6735D" w:rsidRPr="00D6735D" w:rsidRDefault="00D6735D" w:rsidP="00D6735D">
            <w:pPr>
              <w:jc w:val="center"/>
              <w:rPr>
                <w:color w:val="000000"/>
              </w:rPr>
            </w:pPr>
          </w:p>
        </w:tc>
      </w:tr>
      <w:tr w:rsidR="00D6735D" w:rsidRPr="00D6735D" w14:paraId="784C0AA6" w14:textId="77777777" w:rsidTr="00D6735D">
        <w:trPr>
          <w:trHeight w:val="10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585" w14:textId="3CAA5992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96FB" w14:textId="2AAF38FD" w:rsidR="00D6735D" w:rsidRPr="00D6735D" w:rsidRDefault="00D6735D" w:rsidP="00D6735D">
            <w:pPr>
              <w:rPr>
                <w:bCs/>
                <w:color w:val="000000"/>
              </w:rPr>
            </w:pPr>
            <w:r w:rsidRPr="00D6735D">
              <w:rPr>
                <w:bCs/>
                <w:color w:val="000000"/>
              </w:rPr>
              <w:t xml:space="preserve">Модуль «Организационно-технологические особенности проведения экзаменов </w:t>
            </w:r>
            <w:r w:rsidRPr="00D6735D">
              <w:rPr>
                <w:bCs/>
                <w:color w:val="000000"/>
              </w:rPr>
              <w:br/>
              <w:t>по образовательным программам основного общего и среднего общего образования</w:t>
            </w:r>
            <w:r w:rsidR="0085034D">
              <w:rPr>
                <w:bCs/>
                <w:color w:val="000000"/>
              </w:rPr>
              <w:t xml:space="preserve"> (по выбору)</w:t>
            </w:r>
            <w:r w:rsidRPr="00D6735D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08F4" w14:textId="420926CE" w:rsidR="00D6735D" w:rsidRPr="00D6735D" w:rsidRDefault="0085034D" w:rsidP="00D673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5674" w14:textId="77777777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6381" w14:textId="77777777" w:rsidR="00D6735D" w:rsidRPr="00D6735D" w:rsidRDefault="00D6735D" w:rsidP="00D6735D">
            <w:pPr>
              <w:jc w:val="center"/>
              <w:rPr>
                <w:color w:val="000000"/>
              </w:rPr>
            </w:pPr>
          </w:p>
        </w:tc>
      </w:tr>
      <w:tr w:rsidR="00D6735D" w:rsidRPr="00D6735D" w14:paraId="5522FA94" w14:textId="77777777" w:rsidTr="00D6735D">
        <w:trPr>
          <w:trHeight w:val="10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AC0" w14:textId="6930AFAD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B8C0" w14:textId="77777777" w:rsidR="00D6735D" w:rsidRPr="00D6735D" w:rsidRDefault="00D6735D" w:rsidP="00D6735D">
            <w:pPr>
              <w:rPr>
                <w:bCs/>
                <w:color w:val="000000"/>
              </w:rPr>
            </w:pPr>
            <w:r w:rsidRPr="00D6735D">
              <w:rPr>
                <w:bCs/>
                <w:color w:val="000000"/>
              </w:rPr>
              <w:t xml:space="preserve">Модуль «Ключевые аспекты деятельности регионального центра обработки информации по эксплуатации  РИС ГИА, её взаимодействие с ФИС ГИА </w:t>
            </w:r>
            <w:r w:rsidRPr="00D6735D">
              <w:rPr>
                <w:bCs/>
                <w:color w:val="000000"/>
              </w:rPr>
              <w:br/>
              <w:t>и технологическому обеспечению проведения экзаменов»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3855" w14:textId="2F67952A" w:rsidR="00D6735D" w:rsidRPr="00D6735D" w:rsidRDefault="0085034D" w:rsidP="00D673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24 000,00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39F" w14:textId="77777777" w:rsidR="00D6735D" w:rsidRPr="00D6735D" w:rsidRDefault="00D6735D" w:rsidP="00D673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D695" w14:textId="77777777" w:rsidR="00D6735D" w:rsidRPr="00D6735D" w:rsidRDefault="00D6735D" w:rsidP="00D6735D">
            <w:pPr>
              <w:jc w:val="center"/>
              <w:rPr>
                <w:color w:val="000000"/>
              </w:rPr>
            </w:pPr>
          </w:p>
        </w:tc>
      </w:tr>
      <w:tr w:rsidR="00D6735D" w:rsidRPr="00D6735D" w14:paraId="25A7DDC1" w14:textId="77777777" w:rsidTr="00D6735D">
        <w:trPr>
          <w:trHeight w:val="409"/>
        </w:trPr>
        <w:tc>
          <w:tcPr>
            <w:tcW w:w="7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92A89F" w14:textId="77777777" w:rsidR="00D6735D" w:rsidRPr="00D6735D" w:rsidRDefault="00D6735D" w:rsidP="00D6735D">
            <w:pPr>
              <w:jc w:val="right"/>
              <w:rPr>
                <w:b/>
                <w:bCs/>
                <w:color w:val="000000"/>
              </w:rPr>
            </w:pPr>
            <w:r w:rsidRPr="00D6735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5BDFDB" w14:textId="77777777" w:rsidR="00D6735D" w:rsidRPr="00D6735D" w:rsidRDefault="00D6735D" w:rsidP="00D6735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3F2FF12" w14:textId="77777777" w:rsidR="00D6735D" w:rsidRPr="00D6735D" w:rsidRDefault="00D6735D" w:rsidP="00D6735D">
      <w:pPr>
        <w:shd w:val="clear" w:color="auto" w:fill="FFFFFF"/>
        <w:tabs>
          <w:tab w:val="left" w:pos="851"/>
        </w:tabs>
        <w:spacing w:line="360" w:lineRule="auto"/>
        <w:jc w:val="center"/>
        <w:rPr>
          <w:b/>
        </w:rPr>
      </w:pPr>
    </w:p>
    <w:p w14:paraId="0C3013BC" w14:textId="77777777" w:rsidR="00D6735D" w:rsidRPr="00D6735D" w:rsidRDefault="00D6735D" w:rsidP="00D6735D">
      <w:pPr>
        <w:shd w:val="clear" w:color="auto" w:fill="FFFFFF"/>
        <w:tabs>
          <w:tab w:val="left" w:pos="851"/>
        </w:tabs>
        <w:spacing w:line="276" w:lineRule="auto"/>
        <w:jc w:val="both"/>
      </w:pPr>
      <w:r w:rsidRPr="00D6735D">
        <w:t>Общая стоимость образовательных услуг за весь период обучения составляет</w:t>
      </w:r>
      <w:r w:rsidRPr="00D6735D">
        <w:rPr>
          <w:b/>
        </w:rPr>
        <w:t xml:space="preserve"> _________ (______________________) рублей ___ копеек</w:t>
      </w:r>
      <w:r w:rsidRPr="00D6735D">
        <w:t xml:space="preserve">, </w:t>
      </w:r>
      <w:r w:rsidRPr="00D6735D">
        <w:rPr>
          <w:shd w:val="clear" w:color="auto" w:fill="FFFFFF"/>
        </w:rPr>
        <w:t>НДС не облагается в соответствии с подпунктом 14 пункта 2 статьи 149 Налогового Кодекса Российской Федерации</w:t>
      </w:r>
      <w:r w:rsidRPr="00D6735D">
        <w:t>.</w:t>
      </w:r>
    </w:p>
    <w:p w14:paraId="2B71BDA2" w14:textId="77777777" w:rsidR="00D6735D" w:rsidRPr="00D6735D" w:rsidRDefault="00D6735D" w:rsidP="00D6735D">
      <w:pPr>
        <w:shd w:val="clear" w:color="auto" w:fill="FFFFFF"/>
        <w:tabs>
          <w:tab w:val="left" w:pos="851"/>
        </w:tabs>
        <w:spacing w:line="276" w:lineRule="auto"/>
        <w:jc w:val="both"/>
      </w:pPr>
    </w:p>
    <w:tbl>
      <w:tblPr>
        <w:tblW w:w="4640" w:type="pct"/>
        <w:jc w:val="center"/>
        <w:tblLook w:val="04A0" w:firstRow="1" w:lastRow="0" w:firstColumn="1" w:lastColumn="0" w:noHBand="0" w:noVBand="1"/>
      </w:tblPr>
      <w:tblGrid>
        <w:gridCol w:w="4905"/>
        <w:gridCol w:w="472"/>
        <w:gridCol w:w="4294"/>
      </w:tblGrid>
      <w:tr w:rsidR="00D6735D" w:rsidRPr="00D6735D" w14:paraId="5F48243D" w14:textId="77777777" w:rsidTr="00D6735D">
        <w:trPr>
          <w:cantSplit/>
          <w:trHeight w:val="1265"/>
          <w:jc w:val="center"/>
        </w:trPr>
        <w:tc>
          <w:tcPr>
            <w:tcW w:w="4905" w:type="dxa"/>
            <w:shd w:val="clear" w:color="auto" w:fill="auto"/>
          </w:tcPr>
          <w:p w14:paraId="4584BB61" w14:textId="77777777" w:rsidR="00D6735D" w:rsidRPr="00D6735D" w:rsidRDefault="00D6735D" w:rsidP="00D6735D">
            <w:pPr>
              <w:widowControl w:val="0"/>
              <w:rPr>
                <w:b/>
              </w:rPr>
            </w:pPr>
            <w:r w:rsidRPr="00D6735D">
              <w:rPr>
                <w:b/>
              </w:rPr>
              <w:t>Заказчик</w:t>
            </w:r>
          </w:p>
          <w:p w14:paraId="101555AD" w14:textId="77777777" w:rsidR="00D6735D" w:rsidRPr="00D6735D" w:rsidRDefault="00D6735D" w:rsidP="00D6735D">
            <w:pPr>
              <w:widowControl w:val="0"/>
              <w:rPr>
                <w:b/>
              </w:rPr>
            </w:pPr>
          </w:p>
          <w:p w14:paraId="1D8494BB" w14:textId="77777777" w:rsidR="00D6735D" w:rsidRPr="00D6735D" w:rsidRDefault="00D6735D" w:rsidP="00D6735D">
            <w:pPr>
              <w:widowControl w:val="0"/>
              <w:rPr>
                <w:color w:val="000000"/>
              </w:rPr>
            </w:pPr>
            <w:r w:rsidRPr="00D6735D">
              <w:rPr>
                <w:color w:val="000000"/>
              </w:rPr>
              <w:t>____________________________________</w:t>
            </w:r>
          </w:p>
          <w:p w14:paraId="024A9D55" w14:textId="77777777" w:rsidR="00D6735D" w:rsidRPr="00D6735D" w:rsidRDefault="00D6735D" w:rsidP="00D6735D">
            <w:pPr>
              <w:widowControl w:val="0"/>
            </w:pPr>
          </w:p>
          <w:p w14:paraId="03827FBA" w14:textId="77777777" w:rsidR="00D6735D" w:rsidRPr="00D6735D" w:rsidRDefault="00D6735D" w:rsidP="00D6735D">
            <w:pPr>
              <w:widowControl w:val="0"/>
              <w:tabs>
                <w:tab w:val="right" w:leader="underscore" w:pos="4321"/>
              </w:tabs>
              <w:rPr>
                <w:color w:val="000000"/>
              </w:rPr>
            </w:pPr>
            <w:r w:rsidRPr="00D6735D">
              <w:tab/>
            </w:r>
            <w:r w:rsidRPr="00D6735D">
              <w:rPr>
                <w:color w:val="000000"/>
              </w:rPr>
              <w:t xml:space="preserve">/ </w:t>
            </w:r>
            <w:r w:rsidRPr="00D6735D">
              <w:rPr>
                <w:color w:val="000000"/>
                <w:lang w:val="en-US"/>
              </w:rPr>
              <w:t>_____________</w:t>
            </w:r>
            <w:r w:rsidRPr="00D6735D">
              <w:t xml:space="preserve"> /</w:t>
            </w:r>
          </w:p>
          <w:p w14:paraId="406ABEBE" w14:textId="77777777" w:rsidR="00D6735D" w:rsidRPr="00D6735D" w:rsidRDefault="00D6735D" w:rsidP="00D6735D">
            <w:r w:rsidRPr="00D6735D">
              <w:rPr>
                <w:color w:val="000000"/>
              </w:rPr>
              <w:t>М.П.</w:t>
            </w:r>
          </w:p>
        </w:tc>
        <w:tc>
          <w:tcPr>
            <w:tcW w:w="472" w:type="dxa"/>
            <w:shd w:val="clear" w:color="auto" w:fill="auto"/>
          </w:tcPr>
          <w:p w14:paraId="5A244406" w14:textId="77777777" w:rsidR="00D6735D" w:rsidRPr="00D6735D" w:rsidRDefault="00D6735D" w:rsidP="00D6735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94" w:type="dxa"/>
            <w:shd w:val="clear" w:color="auto" w:fill="auto"/>
          </w:tcPr>
          <w:p w14:paraId="3C526FE6" w14:textId="77777777" w:rsidR="00D6735D" w:rsidRPr="00D6735D" w:rsidRDefault="00D6735D" w:rsidP="00D6735D">
            <w:pPr>
              <w:widowControl w:val="0"/>
              <w:rPr>
                <w:b/>
              </w:rPr>
            </w:pPr>
            <w:r w:rsidRPr="00D6735D">
              <w:rPr>
                <w:b/>
              </w:rPr>
              <w:t>Исполнитель</w:t>
            </w:r>
          </w:p>
          <w:p w14:paraId="419B9C9A" w14:textId="77777777" w:rsidR="00D6735D" w:rsidRPr="00D6735D" w:rsidRDefault="00D6735D" w:rsidP="00D6735D">
            <w:pPr>
              <w:widowControl w:val="0"/>
              <w:rPr>
                <w:b/>
              </w:rPr>
            </w:pPr>
          </w:p>
          <w:p w14:paraId="09D395D1" w14:textId="77777777" w:rsidR="00D6735D" w:rsidRPr="00D6735D" w:rsidRDefault="00D6735D" w:rsidP="00D6735D">
            <w:pPr>
              <w:widowControl w:val="0"/>
              <w:rPr>
                <w:color w:val="000000"/>
              </w:rPr>
            </w:pPr>
            <w:r w:rsidRPr="00D6735D">
              <w:rPr>
                <w:color w:val="000000"/>
              </w:rPr>
              <w:t>Заместитель директора ФГБУ «ФЦТ»</w:t>
            </w:r>
          </w:p>
          <w:p w14:paraId="15272C8C" w14:textId="77777777" w:rsidR="00D6735D" w:rsidRPr="00D6735D" w:rsidRDefault="00D6735D" w:rsidP="00D6735D">
            <w:pPr>
              <w:widowControl w:val="0"/>
              <w:rPr>
                <w:color w:val="000000"/>
              </w:rPr>
            </w:pPr>
          </w:p>
          <w:p w14:paraId="1AE4C47D" w14:textId="77777777" w:rsidR="00D6735D" w:rsidRPr="00D6735D" w:rsidRDefault="00D6735D" w:rsidP="00D6735D">
            <w:pPr>
              <w:widowControl w:val="0"/>
              <w:tabs>
                <w:tab w:val="right" w:leader="underscore" w:pos="4321"/>
              </w:tabs>
              <w:rPr>
                <w:color w:val="000000"/>
              </w:rPr>
            </w:pPr>
            <w:r w:rsidRPr="00D6735D">
              <w:t>___________________</w:t>
            </w:r>
            <w:r w:rsidRPr="00D6735D">
              <w:rPr>
                <w:color w:val="000000"/>
              </w:rPr>
              <w:t>/И.В. Синькова</w:t>
            </w:r>
            <w:r w:rsidRPr="00D6735D">
              <w:t>/</w:t>
            </w:r>
          </w:p>
          <w:p w14:paraId="5552A9C7" w14:textId="77777777" w:rsidR="00D6735D" w:rsidRPr="00D6735D" w:rsidRDefault="00D6735D" w:rsidP="00D6735D">
            <w:pPr>
              <w:widowControl w:val="0"/>
              <w:rPr>
                <w:b/>
              </w:rPr>
            </w:pPr>
            <w:r w:rsidRPr="00D6735D">
              <w:rPr>
                <w:color w:val="000000"/>
              </w:rPr>
              <w:t>М.П.</w:t>
            </w:r>
          </w:p>
        </w:tc>
      </w:tr>
    </w:tbl>
    <w:p w14:paraId="336920F3" w14:textId="77777777" w:rsidR="000F109C" w:rsidRPr="004E061C" w:rsidRDefault="000F109C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DD49" w14:textId="77777777" w:rsidR="00A4290A" w:rsidRDefault="00A4290A" w:rsidP="002E55D6">
      <w:r>
        <w:separator/>
      </w:r>
    </w:p>
  </w:endnote>
  <w:endnote w:type="continuationSeparator" w:id="0">
    <w:p w14:paraId="0BC3209E" w14:textId="77777777" w:rsidR="00A4290A" w:rsidRDefault="00A4290A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3F604524" w:rsidR="00A4290A" w:rsidRPr="002E55D6" w:rsidRDefault="00A4290A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C16F04">
          <w:rPr>
            <w:noProof/>
            <w:sz w:val="22"/>
            <w:szCs w:val="22"/>
          </w:rPr>
          <w:t>3</w:t>
        </w:r>
        <w:r w:rsidRPr="002E55D6">
          <w:rPr>
            <w:sz w:val="22"/>
            <w:szCs w:val="22"/>
          </w:rPr>
          <w:fldChar w:fldCharType="end"/>
        </w:r>
      </w:p>
    </w:sdtContent>
  </w:sdt>
  <w:p w14:paraId="53387C73" w14:textId="77777777" w:rsidR="00A4290A" w:rsidRDefault="00A429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60546" w14:textId="77777777" w:rsidR="00A4290A" w:rsidRDefault="00A4290A" w:rsidP="002E55D6">
      <w:r>
        <w:separator/>
      </w:r>
    </w:p>
  </w:footnote>
  <w:footnote w:type="continuationSeparator" w:id="0">
    <w:p w14:paraId="3A2A03AF" w14:textId="77777777" w:rsidR="00A4290A" w:rsidRDefault="00A4290A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1383B"/>
    <w:rsid w:val="00015980"/>
    <w:rsid w:val="00017149"/>
    <w:rsid w:val="00020728"/>
    <w:rsid w:val="00021C76"/>
    <w:rsid w:val="000533E6"/>
    <w:rsid w:val="0006081A"/>
    <w:rsid w:val="00064EA2"/>
    <w:rsid w:val="00070701"/>
    <w:rsid w:val="00080C39"/>
    <w:rsid w:val="00082595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2F3CAD"/>
    <w:rsid w:val="00301CA7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53A9A"/>
    <w:rsid w:val="003654E5"/>
    <w:rsid w:val="00380235"/>
    <w:rsid w:val="00381212"/>
    <w:rsid w:val="00383F17"/>
    <w:rsid w:val="00391619"/>
    <w:rsid w:val="00394C54"/>
    <w:rsid w:val="003A4893"/>
    <w:rsid w:val="003A56EC"/>
    <w:rsid w:val="003B3E38"/>
    <w:rsid w:val="003C0B71"/>
    <w:rsid w:val="003C0EBF"/>
    <w:rsid w:val="003C5A48"/>
    <w:rsid w:val="003D510C"/>
    <w:rsid w:val="003F31B7"/>
    <w:rsid w:val="003F6315"/>
    <w:rsid w:val="003F79FE"/>
    <w:rsid w:val="004066F6"/>
    <w:rsid w:val="00415425"/>
    <w:rsid w:val="00424431"/>
    <w:rsid w:val="00425A58"/>
    <w:rsid w:val="0043049D"/>
    <w:rsid w:val="00444D2D"/>
    <w:rsid w:val="004531F4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74DD"/>
    <w:rsid w:val="0050721C"/>
    <w:rsid w:val="00512DE3"/>
    <w:rsid w:val="0052289C"/>
    <w:rsid w:val="00525EE3"/>
    <w:rsid w:val="0053251E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3F38"/>
    <w:rsid w:val="00661717"/>
    <w:rsid w:val="00663AF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B2AD4"/>
    <w:rsid w:val="007C2D72"/>
    <w:rsid w:val="007D329B"/>
    <w:rsid w:val="007D4D11"/>
    <w:rsid w:val="007E544A"/>
    <w:rsid w:val="007F38EF"/>
    <w:rsid w:val="007F5802"/>
    <w:rsid w:val="0080027D"/>
    <w:rsid w:val="00800E73"/>
    <w:rsid w:val="00811299"/>
    <w:rsid w:val="00831F67"/>
    <w:rsid w:val="00847F64"/>
    <w:rsid w:val="0085034D"/>
    <w:rsid w:val="00872030"/>
    <w:rsid w:val="00872F36"/>
    <w:rsid w:val="00887C6C"/>
    <w:rsid w:val="0089150E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80025"/>
    <w:rsid w:val="009A4CC1"/>
    <w:rsid w:val="009C054A"/>
    <w:rsid w:val="009C0AC3"/>
    <w:rsid w:val="009E44FB"/>
    <w:rsid w:val="00A17C8C"/>
    <w:rsid w:val="00A22CAD"/>
    <w:rsid w:val="00A300C1"/>
    <w:rsid w:val="00A30572"/>
    <w:rsid w:val="00A3722B"/>
    <w:rsid w:val="00A4268A"/>
    <w:rsid w:val="00A4290A"/>
    <w:rsid w:val="00A504CA"/>
    <w:rsid w:val="00A62767"/>
    <w:rsid w:val="00A708E4"/>
    <w:rsid w:val="00A742CE"/>
    <w:rsid w:val="00A858EF"/>
    <w:rsid w:val="00A85991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16F04"/>
    <w:rsid w:val="00C37775"/>
    <w:rsid w:val="00C61A4E"/>
    <w:rsid w:val="00C71319"/>
    <w:rsid w:val="00C85D19"/>
    <w:rsid w:val="00C9146E"/>
    <w:rsid w:val="00CD44C4"/>
    <w:rsid w:val="00CE15D1"/>
    <w:rsid w:val="00CE19A9"/>
    <w:rsid w:val="00D00BD7"/>
    <w:rsid w:val="00D02157"/>
    <w:rsid w:val="00D03EEC"/>
    <w:rsid w:val="00D04DA7"/>
    <w:rsid w:val="00D0634B"/>
    <w:rsid w:val="00D07507"/>
    <w:rsid w:val="00D0759C"/>
    <w:rsid w:val="00D13F79"/>
    <w:rsid w:val="00D15FD5"/>
    <w:rsid w:val="00D219D5"/>
    <w:rsid w:val="00D237F2"/>
    <w:rsid w:val="00D44C5D"/>
    <w:rsid w:val="00D44E5F"/>
    <w:rsid w:val="00D50308"/>
    <w:rsid w:val="00D6735D"/>
    <w:rsid w:val="00DA4D05"/>
    <w:rsid w:val="00DB3A2F"/>
    <w:rsid w:val="00DB76A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816D7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4339"/>
    <w:rsid w:val="00FD1EAB"/>
    <w:rsid w:val="00FD3D01"/>
    <w:rsid w:val="00FD3FDD"/>
    <w:rsid w:val="00FD644C"/>
    <w:rsid w:val="00FE0486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2529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4A68-273D-4084-8675-D511A5D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Джигкаева Залина Борисовна</cp:lastModifiedBy>
  <cp:revision>6</cp:revision>
  <cp:lastPrinted>2022-02-24T10:30:00Z</cp:lastPrinted>
  <dcterms:created xsi:type="dcterms:W3CDTF">2023-09-06T11:24:00Z</dcterms:created>
  <dcterms:modified xsi:type="dcterms:W3CDTF">2023-12-22T12:01:00Z</dcterms:modified>
</cp:coreProperties>
</file>